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0E7A93" w:rsidRDefault="00017C37" w:rsidP="009C1E3F">
            <w:pPr>
              <w:jc w:val="center"/>
              <w:rPr>
                <w:b/>
              </w:rPr>
            </w:pPr>
            <w:r>
              <w:rPr>
                <w:b/>
              </w:rPr>
              <w:t xml:space="preserve">21 </w:t>
            </w:r>
            <w:r w:rsidR="008B3CB3">
              <w:rPr>
                <w:b/>
              </w:rPr>
              <w:t>June</w:t>
            </w:r>
            <w:r w:rsidR="000E7A93" w:rsidRPr="000E7A93">
              <w:rPr>
                <w:b/>
              </w:rPr>
              <w:t xml:space="preserve">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0E7A93" w:rsidRDefault="00491976" w:rsidP="00AC4A99">
            <w:pPr>
              <w:jc w:val="center"/>
              <w:rPr>
                <w:b/>
              </w:rPr>
            </w:pPr>
            <w:r w:rsidRPr="000E7A93">
              <w:rPr>
                <w:b/>
              </w:rPr>
              <w:t>TITLE</w:t>
            </w:r>
          </w:p>
        </w:tc>
        <w:tc>
          <w:tcPr>
            <w:tcW w:w="2410" w:type="dxa"/>
            <w:shd w:val="clear" w:color="auto" w:fill="BFBFBF"/>
            <w:vAlign w:val="center"/>
          </w:tcPr>
          <w:p w:rsidR="00491976" w:rsidRPr="000E7A93" w:rsidRDefault="00491976" w:rsidP="00AC4A99">
            <w:pPr>
              <w:jc w:val="center"/>
              <w:rPr>
                <w:b/>
              </w:rPr>
            </w:pPr>
            <w:r w:rsidRPr="000E7A93">
              <w:rPr>
                <w:b/>
              </w:rPr>
              <w:t>PORTFOLIO</w:t>
            </w:r>
          </w:p>
        </w:tc>
        <w:tc>
          <w:tcPr>
            <w:tcW w:w="2551" w:type="dxa"/>
            <w:shd w:val="clear" w:color="auto" w:fill="BFBFBF"/>
            <w:vAlign w:val="center"/>
          </w:tcPr>
          <w:p w:rsidR="00491976" w:rsidRPr="000E7A93" w:rsidRDefault="00E51F90" w:rsidP="00AC4A99">
            <w:pPr>
              <w:jc w:val="center"/>
              <w:rPr>
                <w:b/>
              </w:rPr>
            </w:pPr>
            <w:r w:rsidRPr="000E7A93">
              <w:rPr>
                <w:b/>
              </w:rPr>
              <w:t>REP</w:t>
            </w:r>
            <w:r w:rsidR="00491976" w:rsidRPr="000E7A93">
              <w:rPr>
                <w:b/>
              </w:rPr>
              <w:t>ORT OF</w:t>
            </w:r>
          </w:p>
        </w:tc>
      </w:tr>
      <w:tr w:rsidR="00491976" w:rsidRPr="009E2B84" w:rsidTr="00491976">
        <w:trPr>
          <w:cantSplit/>
          <w:trHeight w:val="667"/>
        </w:trPr>
        <w:tc>
          <w:tcPr>
            <w:tcW w:w="4928" w:type="dxa"/>
            <w:vAlign w:val="center"/>
          </w:tcPr>
          <w:p w:rsidR="00491976" w:rsidRPr="000E7A93" w:rsidRDefault="00491976" w:rsidP="00AC4A99">
            <w:pPr>
              <w:rPr>
                <w:b/>
              </w:rPr>
            </w:pPr>
          </w:p>
          <w:p w:rsidR="00491976" w:rsidRPr="000E7A93" w:rsidRDefault="00017C37" w:rsidP="00AC4A99">
            <w:r>
              <w:t>Temporary Suspension of Fees and Charges for</w:t>
            </w:r>
            <w:r w:rsidR="00B01C6E">
              <w:t xml:space="preserve"> domestic </w:t>
            </w:r>
            <w:r>
              <w:t>Rat and Mice</w:t>
            </w:r>
            <w:r w:rsidR="00B01C6E">
              <w:t xml:space="preserve"> treatments</w:t>
            </w:r>
          </w:p>
          <w:p w:rsidR="00491976" w:rsidRPr="000E7A93" w:rsidRDefault="00491976" w:rsidP="00AC4A99">
            <w:pPr>
              <w:rPr>
                <w:b/>
              </w:rPr>
            </w:pPr>
          </w:p>
        </w:tc>
        <w:tc>
          <w:tcPr>
            <w:tcW w:w="2410" w:type="dxa"/>
            <w:vAlign w:val="center"/>
          </w:tcPr>
          <w:p w:rsidR="00743794" w:rsidRPr="000E7A93" w:rsidRDefault="00017C37" w:rsidP="00491976">
            <w:pPr>
              <w:jc w:val="center"/>
              <w:rPr>
                <w:b/>
              </w:rPr>
            </w:pPr>
            <w:r w:rsidRPr="00017C37">
              <w:t xml:space="preserve">Public Health, Leisure and Wellbeing </w:t>
            </w:r>
          </w:p>
        </w:tc>
        <w:tc>
          <w:tcPr>
            <w:tcW w:w="2551" w:type="dxa"/>
            <w:vAlign w:val="center"/>
          </w:tcPr>
          <w:p w:rsidR="00491976" w:rsidRPr="000E7A93" w:rsidRDefault="000E7A93" w:rsidP="009E233A">
            <w:pPr>
              <w:jc w:val="center"/>
            </w:pPr>
            <w:r w:rsidRPr="000E7A93">
              <w:t>Director of Neighbourhoods</w:t>
            </w:r>
            <w:r w:rsidR="00DD2C9A">
              <w:t xml:space="preserve"> &amp;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0E7A93" w:rsidRDefault="000E7A93" w:rsidP="00AC4A99">
            <w:pPr>
              <w:rPr>
                <w:szCs w:val="22"/>
              </w:rPr>
            </w:pPr>
          </w:p>
          <w:p w:rsidR="00BD2AFE" w:rsidRPr="009C1143" w:rsidRDefault="00E50A9C" w:rsidP="000E7A93">
            <w:pPr>
              <w:rPr>
                <w:szCs w:val="22"/>
              </w:rPr>
            </w:pPr>
            <w:r>
              <w:rPr>
                <w:szCs w:val="22"/>
              </w:rPr>
              <w:t>Is this report confidential?</w:t>
            </w:r>
          </w:p>
        </w:tc>
        <w:tc>
          <w:tcPr>
            <w:tcW w:w="3266" w:type="dxa"/>
            <w:shd w:val="clear" w:color="auto" w:fill="auto"/>
          </w:tcPr>
          <w:p w:rsidR="002F5C5E" w:rsidRPr="00F3057A" w:rsidRDefault="000E7A93" w:rsidP="00AC4A99">
            <w:pPr>
              <w:rPr>
                <w:b/>
                <w:szCs w:val="22"/>
              </w:rPr>
            </w:pPr>
            <w:r>
              <w:rPr>
                <w:b/>
                <w:szCs w:val="22"/>
              </w:rPr>
              <w:t>Yes</w:t>
            </w:r>
          </w:p>
          <w:p w:rsidR="002F5C5E" w:rsidRDefault="002F5C5E" w:rsidP="00AC4A99">
            <w:pPr>
              <w:rPr>
                <w:i/>
                <w:color w:val="0070C0"/>
                <w:szCs w:val="22"/>
              </w:rPr>
            </w:pPr>
          </w:p>
          <w:p w:rsidR="000E7A93" w:rsidRPr="009C1143" w:rsidRDefault="000E7A93" w:rsidP="00AC4A99">
            <w:pPr>
              <w:rPr>
                <w:szCs w:val="22"/>
              </w:rPr>
            </w:pPr>
          </w:p>
          <w:p w:rsidR="00594D09" w:rsidRPr="009C1143" w:rsidRDefault="00017C37" w:rsidP="000E7A93">
            <w:pPr>
              <w:rPr>
                <w:i/>
                <w:color w:val="0070C0"/>
                <w:szCs w:val="22"/>
              </w:rPr>
            </w:pPr>
            <w:r>
              <w:rPr>
                <w:b/>
                <w:szCs w:val="22"/>
              </w:rPr>
              <w:t>No</w:t>
            </w:r>
          </w:p>
          <w:p w:rsidR="002F5C5E" w:rsidRDefault="002F5C5E" w:rsidP="00AC4A99">
            <w:pPr>
              <w:rPr>
                <w:b/>
                <w:szCs w:val="22"/>
              </w:rPr>
            </w:pPr>
          </w:p>
          <w:p w:rsidR="002F5C5E" w:rsidRDefault="002F5C5E" w:rsidP="00AC4A99">
            <w:pPr>
              <w:rPr>
                <w:b/>
                <w:szCs w:val="22"/>
              </w:rPr>
            </w:pPr>
            <w:r w:rsidRPr="00F3057A">
              <w:rPr>
                <w:b/>
                <w:szCs w:val="22"/>
              </w:rPr>
              <w:t>No</w:t>
            </w:r>
          </w:p>
          <w:p w:rsidR="000E7A93" w:rsidRDefault="000E7A93" w:rsidP="00AC4A99">
            <w:pPr>
              <w:rPr>
                <w:b/>
                <w:szCs w:val="22"/>
              </w:rPr>
            </w:pPr>
          </w:p>
          <w:p w:rsidR="000E7A93" w:rsidRDefault="000E7A93" w:rsidP="00AC4A99">
            <w:pPr>
              <w:rPr>
                <w:b/>
                <w:szCs w:val="22"/>
              </w:rPr>
            </w:pPr>
          </w:p>
          <w:p w:rsidR="00594D09" w:rsidRPr="003D4C72" w:rsidRDefault="00E50A9C" w:rsidP="000E7A93">
            <w:pPr>
              <w:rPr>
                <w:b/>
                <w:szCs w:val="22"/>
              </w:rPr>
            </w:pPr>
            <w:r>
              <w:rPr>
                <w:b/>
                <w:szCs w:val="22"/>
              </w:rPr>
              <w:t>No</w:t>
            </w: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2F5C5E" w:rsidRPr="00970C70" w:rsidRDefault="00456396" w:rsidP="008B3CB3">
      <w:pPr>
        <w:keepNext/>
        <w:numPr>
          <w:ilvl w:val="1"/>
          <w:numId w:val="8"/>
        </w:numPr>
        <w:ind w:left="567" w:hanging="567"/>
        <w:jc w:val="both"/>
        <w:outlineLvl w:val="0"/>
        <w:rPr>
          <w:b/>
          <w:color w:val="2E74B5" w:themeColor="accent1" w:themeShade="BF"/>
          <w:szCs w:val="22"/>
        </w:rPr>
      </w:pPr>
      <w:r w:rsidRPr="00456396">
        <w:rPr>
          <w:szCs w:val="22"/>
        </w:rPr>
        <w:t>This report seeks Members</w:t>
      </w:r>
      <w:r w:rsidR="0088036C">
        <w:rPr>
          <w:szCs w:val="22"/>
        </w:rPr>
        <w:t>’</w:t>
      </w:r>
      <w:r w:rsidRPr="00456396">
        <w:rPr>
          <w:szCs w:val="22"/>
        </w:rPr>
        <w:t xml:space="preserve"> approval to </w:t>
      </w:r>
      <w:r w:rsidR="00017C37">
        <w:rPr>
          <w:szCs w:val="22"/>
        </w:rPr>
        <w:t xml:space="preserve">temporarily suspend the current charges for </w:t>
      </w:r>
      <w:r w:rsidR="00B01C6E">
        <w:rPr>
          <w:szCs w:val="22"/>
        </w:rPr>
        <w:t xml:space="preserve">domestic </w:t>
      </w:r>
      <w:r w:rsidR="00017C37">
        <w:rPr>
          <w:szCs w:val="22"/>
        </w:rPr>
        <w:t xml:space="preserve">rat and mice treatments offered to the borough by the council’s Pest Control Service until the </w:t>
      </w:r>
      <w:r w:rsidR="00632FCE">
        <w:rPr>
          <w:szCs w:val="22"/>
        </w:rPr>
        <w:t>11</w:t>
      </w:r>
      <w:r w:rsidR="00017C37" w:rsidRPr="00017C37">
        <w:rPr>
          <w:szCs w:val="22"/>
          <w:vertAlign w:val="superscript"/>
        </w:rPr>
        <w:t>th</w:t>
      </w:r>
      <w:r w:rsidR="003F6135">
        <w:rPr>
          <w:szCs w:val="22"/>
        </w:rPr>
        <w:t xml:space="preserve"> July 2018 when a</w:t>
      </w:r>
      <w:r w:rsidR="00632FCE">
        <w:rPr>
          <w:szCs w:val="22"/>
        </w:rPr>
        <w:t xml:space="preserve"> full</w:t>
      </w:r>
      <w:r w:rsidR="003F6135">
        <w:rPr>
          <w:szCs w:val="22"/>
        </w:rPr>
        <w:t xml:space="preserve"> Fees and Charges Report will be presented for Cabinet approval.</w:t>
      </w:r>
    </w:p>
    <w:p w:rsidR="002F5C5E" w:rsidRPr="009C1143" w:rsidRDefault="002F5C5E" w:rsidP="002F5C5E">
      <w:pPr>
        <w:rPr>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2F5C5E" w:rsidRPr="00456396" w:rsidRDefault="00456396" w:rsidP="008B3CB3">
      <w:pPr>
        <w:keepNext/>
        <w:numPr>
          <w:ilvl w:val="1"/>
          <w:numId w:val="8"/>
        </w:numPr>
        <w:ind w:left="567" w:hanging="567"/>
        <w:jc w:val="both"/>
        <w:outlineLvl w:val="0"/>
        <w:rPr>
          <w:b/>
          <w:szCs w:val="22"/>
        </w:rPr>
      </w:pPr>
      <w:r>
        <w:rPr>
          <w:szCs w:val="22"/>
        </w:rPr>
        <w:t xml:space="preserve">That Cabinet agree </w:t>
      </w:r>
      <w:r w:rsidR="00017C37">
        <w:rPr>
          <w:szCs w:val="22"/>
        </w:rPr>
        <w:t xml:space="preserve">to the temporary suspension of the fees and charges for rats and mice </w:t>
      </w:r>
      <w:r w:rsidR="00E32741">
        <w:rPr>
          <w:szCs w:val="22"/>
        </w:rPr>
        <w:t>unti</w:t>
      </w:r>
      <w:r w:rsidR="00D91FE1">
        <w:rPr>
          <w:szCs w:val="22"/>
        </w:rPr>
        <w:t>l</w:t>
      </w:r>
      <w:r w:rsidR="00E32741">
        <w:rPr>
          <w:szCs w:val="22"/>
        </w:rPr>
        <w:t xml:space="preserve"> the </w:t>
      </w:r>
      <w:r w:rsidR="00CD2BE7">
        <w:rPr>
          <w:szCs w:val="22"/>
        </w:rPr>
        <w:t>11</w:t>
      </w:r>
      <w:r w:rsidR="00E32741" w:rsidRPr="00E32741">
        <w:rPr>
          <w:szCs w:val="22"/>
          <w:vertAlign w:val="superscript"/>
        </w:rPr>
        <w:t>th</w:t>
      </w:r>
      <w:r w:rsidR="003F6135">
        <w:rPr>
          <w:szCs w:val="22"/>
        </w:rPr>
        <w:t xml:space="preserve"> July 201</w:t>
      </w:r>
      <w:r w:rsidR="00A728C0">
        <w:rPr>
          <w:szCs w:val="22"/>
        </w:rPr>
        <w:t>8 when a Fees and Charges Report</w:t>
      </w:r>
      <w:r w:rsidR="003F6135">
        <w:rPr>
          <w:szCs w:val="22"/>
        </w:rPr>
        <w:t xml:space="preserve"> will be presented to Cabinet for approval.</w:t>
      </w:r>
    </w:p>
    <w:p w:rsidR="002F5C5E" w:rsidRPr="00CC4337" w:rsidRDefault="002F5C5E" w:rsidP="002F5C5E">
      <w:pPr>
        <w:rPr>
          <w:szCs w:val="22"/>
        </w:rPr>
      </w:pPr>
    </w:p>
    <w:p w:rsidR="008C04DA" w:rsidRDefault="008C04DA" w:rsidP="0065176C">
      <w:pPr>
        <w:keepNext/>
        <w:numPr>
          <w:ilvl w:val="0"/>
          <w:numId w:val="8"/>
        </w:numPr>
        <w:ind w:left="567" w:hanging="567"/>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Default="00DD2C9A"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tc>
        <w:tc>
          <w:tcPr>
            <w:tcW w:w="850" w:type="dxa"/>
            <w:shd w:val="clear" w:color="auto" w:fill="auto"/>
          </w:tcPr>
          <w:p w:rsidR="000E5A3B" w:rsidRPr="008770BE" w:rsidRDefault="000E5A3B" w:rsidP="00A975A7">
            <w:pPr>
              <w:rPr>
                <w:szCs w:val="22"/>
                <w:highlight w:val="yellow"/>
              </w:rPr>
            </w:pP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tc>
        <w:tc>
          <w:tcPr>
            <w:tcW w:w="850" w:type="dxa"/>
            <w:shd w:val="clear" w:color="auto" w:fill="auto"/>
          </w:tcPr>
          <w:p w:rsidR="000E5A3B" w:rsidRPr="008770BE" w:rsidRDefault="0038737A" w:rsidP="00A975A7">
            <w:pPr>
              <w:rPr>
                <w:szCs w:val="22"/>
                <w:highlight w:val="yellow"/>
              </w:rPr>
            </w:pPr>
            <w:r w:rsidRPr="0038737A">
              <w:rPr>
                <w:szCs w:val="22"/>
              </w:rPr>
              <w:t>X</w:t>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tc>
        <w:tc>
          <w:tcPr>
            <w:tcW w:w="850" w:type="dxa"/>
            <w:shd w:val="clear" w:color="auto" w:fill="auto"/>
          </w:tcPr>
          <w:p w:rsidR="000E5A3B" w:rsidRPr="009C1143" w:rsidRDefault="000E5A3B" w:rsidP="00A975A7">
            <w:pP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Pr="000828CC" w:rsidRDefault="002D4745" w:rsidP="00A975A7">
            <w:pPr>
              <w:rPr>
                <w:szCs w:val="22"/>
              </w:rPr>
            </w:pPr>
            <w:r>
              <w:rPr>
                <w:szCs w:val="22"/>
              </w:rPr>
              <w:t xml:space="preserve">People </w:t>
            </w: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65176C">
      <w:pPr>
        <w:keepNext/>
        <w:numPr>
          <w:ilvl w:val="0"/>
          <w:numId w:val="8"/>
        </w:numPr>
        <w:ind w:left="567" w:hanging="567"/>
        <w:outlineLvl w:val="0"/>
        <w:rPr>
          <w:b/>
          <w:szCs w:val="22"/>
        </w:rPr>
      </w:pPr>
      <w:r w:rsidRPr="008C04DA">
        <w:rPr>
          <w:b/>
          <w:szCs w:val="22"/>
        </w:rPr>
        <w:t>BACKGROUND TO THE REPORT</w:t>
      </w:r>
    </w:p>
    <w:p w:rsidR="00EF3B6C" w:rsidRDefault="00EF3B6C" w:rsidP="00EF3B6C">
      <w:pPr>
        <w:keepNext/>
        <w:ind w:left="567"/>
        <w:outlineLvl w:val="0"/>
        <w:rPr>
          <w:b/>
          <w:szCs w:val="22"/>
        </w:rPr>
      </w:pPr>
    </w:p>
    <w:p w:rsidR="00CC2DF9" w:rsidRPr="00B01C6E" w:rsidRDefault="00BD6BEC" w:rsidP="008B3CB3">
      <w:pPr>
        <w:keepNext/>
        <w:numPr>
          <w:ilvl w:val="1"/>
          <w:numId w:val="8"/>
        </w:numPr>
        <w:ind w:left="567" w:hanging="567"/>
        <w:jc w:val="both"/>
        <w:outlineLvl w:val="0"/>
        <w:rPr>
          <w:b/>
          <w:szCs w:val="22"/>
        </w:rPr>
      </w:pPr>
      <w:r w:rsidRPr="00B01C6E">
        <w:rPr>
          <w:szCs w:val="22"/>
        </w:rPr>
        <w:t>On</w:t>
      </w:r>
      <w:r>
        <w:rPr>
          <w:szCs w:val="22"/>
        </w:rPr>
        <w:t xml:space="preserve"> </w:t>
      </w:r>
      <w:r w:rsidRPr="00B01C6E">
        <w:rPr>
          <w:szCs w:val="22"/>
        </w:rPr>
        <w:t>the</w:t>
      </w:r>
      <w:r w:rsidR="00CD2BE7" w:rsidRPr="00B01C6E">
        <w:rPr>
          <w:szCs w:val="22"/>
        </w:rPr>
        <w:t xml:space="preserve"> 21</w:t>
      </w:r>
      <w:r w:rsidR="00CD2BE7" w:rsidRPr="00B01C6E">
        <w:rPr>
          <w:szCs w:val="22"/>
          <w:vertAlign w:val="superscript"/>
        </w:rPr>
        <w:t>st</w:t>
      </w:r>
      <w:r w:rsidR="00CD2BE7" w:rsidRPr="00B01C6E">
        <w:rPr>
          <w:szCs w:val="22"/>
        </w:rPr>
        <w:t xml:space="preserve"> June 2017 </w:t>
      </w:r>
      <w:r w:rsidR="00D91FE1" w:rsidRPr="00B01C6E">
        <w:rPr>
          <w:szCs w:val="22"/>
        </w:rPr>
        <w:t>the Cabinet deci</w:t>
      </w:r>
      <w:r w:rsidR="00CD2BE7">
        <w:rPr>
          <w:szCs w:val="22"/>
        </w:rPr>
        <w:t>ded</w:t>
      </w:r>
      <w:r w:rsidR="00D91FE1" w:rsidRPr="00B01C6E">
        <w:rPr>
          <w:szCs w:val="22"/>
        </w:rPr>
        <w:t xml:space="preserve"> to introduce charging for rat and mice treatments</w:t>
      </w:r>
      <w:r w:rsidR="00CD2BE7">
        <w:rPr>
          <w:szCs w:val="22"/>
        </w:rPr>
        <w:t>.</w:t>
      </w:r>
      <w:bookmarkStart w:id="0" w:name="_GoBack"/>
      <w:bookmarkEnd w:id="0"/>
      <w:r w:rsidR="00D91FE1" w:rsidRPr="00B01C6E">
        <w:rPr>
          <w:szCs w:val="22"/>
        </w:rPr>
        <w:t xml:space="preserve"> </w:t>
      </w:r>
    </w:p>
    <w:p w:rsidR="00B01C6E" w:rsidRPr="00B01C6E" w:rsidRDefault="00B01C6E" w:rsidP="008B3CB3">
      <w:pPr>
        <w:keepNext/>
        <w:ind w:left="567"/>
        <w:jc w:val="both"/>
        <w:outlineLvl w:val="0"/>
        <w:rPr>
          <w:b/>
          <w:szCs w:val="22"/>
        </w:rPr>
      </w:pPr>
    </w:p>
    <w:p w:rsidR="00B01C6E" w:rsidRPr="00B01C6E" w:rsidRDefault="008B3CB3" w:rsidP="008B3CB3">
      <w:pPr>
        <w:keepNext/>
        <w:numPr>
          <w:ilvl w:val="1"/>
          <w:numId w:val="8"/>
        </w:numPr>
        <w:ind w:left="567" w:hanging="567"/>
        <w:jc w:val="both"/>
        <w:outlineLvl w:val="0"/>
        <w:rPr>
          <w:b/>
          <w:szCs w:val="22"/>
        </w:rPr>
      </w:pPr>
      <w:r>
        <w:rPr>
          <w:szCs w:val="22"/>
        </w:rPr>
        <w:t xml:space="preserve">The new fees and charges for domestic rodent treatments have applied for the last 9 months. </w:t>
      </w:r>
      <w:r w:rsidR="00D91FE1">
        <w:rPr>
          <w:szCs w:val="22"/>
        </w:rPr>
        <w:t xml:space="preserve">Since the introduction of charges the </w:t>
      </w:r>
      <w:r w:rsidR="00B01C6E">
        <w:rPr>
          <w:szCs w:val="22"/>
        </w:rPr>
        <w:t xml:space="preserve">Pest Control team </w:t>
      </w:r>
      <w:r w:rsidR="001651B0">
        <w:rPr>
          <w:szCs w:val="22"/>
        </w:rPr>
        <w:t>have managed to increase their service to business customers but there has been a significant decrease in the number of treatments to residential properties.</w:t>
      </w:r>
    </w:p>
    <w:p w:rsidR="00B01C6E" w:rsidRDefault="00B01C6E" w:rsidP="008B3CB3">
      <w:pPr>
        <w:pStyle w:val="ListParagraph"/>
        <w:jc w:val="both"/>
      </w:pPr>
    </w:p>
    <w:p w:rsidR="00CC2DF9" w:rsidRPr="00CC2DF9" w:rsidRDefault="001651B0" w:rsidP="008B3CB3">
      <w:pPr>
        <w:keepNext/>
        <w:numPr>
          <w:ilvl w:val="1"/>
          <w:numId w:val="8"/>
        </w:numPr>
        <w:ind w:left="567" w:hanging="567"/>
        <w:jc w:val="both"/>
        <w:outlineLvl w:val="0"/>
        <w:rPr>
          <w:b/>
          <w:szCs w:val="22"/>
        </w:rPr>
      </w:pPr>
      <w:r>
        <w:rPr>
          <w:szCs w:val="22"/>
        </w:rPr>
        <w:lastRenderedPageBreak/>
        <w:t>The</w:t>
      </w:r>
      <w:r w:rsidR="00B01C6E">
        <w:rPr>
          <w:szCs w:val="22"/>
        </w:rPr>
        <w:t xml:space="preserve"> total </w:t>
      </w:r>
      <w:r w:rsidR="00D91FE1">
        <w:rPr>
          <w:szCs w:val="22"/>
        </w:rPr>
        <w:t xml:space="preserve">number of rodent treatments undertaken by the </w:t>
      </w:r>
      <w:r w:rsidR="00CD2BE7">
        <w:rPr>
          <w:szCs w:val="22"/>
        </w:rPr>
        <w:t>c</w:t>
      </w:r>
      <w:r w:rsidR="00CC2DF9">
        <w:rPr>
          <w:szCs w:val="22"/>
        </w:rPr>
        <w:t>ouncil</w:t>
      </w:r>
      <w:r>
        <w:rPr>
          <w:szCs w:val="22"/>
        </w:rPr>
        <w:t xml:space="preserve"> in residential properties</w:t>
      </w:r>
      <w:r w:rsidR="00CC2DF9">
        <w:rPr>
          <w:szCs w:val="22"/>
        </w:rPr>
        <w:t xml:space="preserve"> has reduced by 65% o</w:t>
      </w:r>
      <w:r w:rsidR="00B01C6E">
        <w:rPr>
          <w:szCs w:val="22"/>
        </w:rPr>
        <w:t>n</w:t>
      </w:r>
      <w:r w:rsidR="00CC2DF9">
        <w:rPr>
          <w:szCs w:val="22"/>
        </w:rPr>
        <w:t xml:space="preserve"> the previous year’s treatments. Anecdotal evidence suggests that this is not as a result of a reduction in rodent population but due to the introduction of charges.</w:t>
      </w:r>
      <w:r>
        <w:rPr>
          <w:szCs w:val="22"/>
        </w:rPr>
        <w:t xml:space="preserve"> </w:t>
      </w:r>
    </w:p>
    <w:p w:rsidR="00CC2DF9" w:rsidRPr="00CC2DF9" w:rsidRDefault="00CC2DF9" w:rsidP="008B3CB3">
      <w:pPr>
        <w:jc w:val="both"/>
        <w:rPr>
          <w:b/>
        </w:rPr>
      </w:pPr>
    </w:p>
    <w:p w:rsidR="00CC2DF9" w:rsidRPr="001651B0" w:rsidRDefault="00CC2DF9" w:rsidP="008B3CB3">
      <w:pPr>
        <w:keepNext/>
        <w:numPr>
          <w:ilvl w:val="1"/>
          <w:numId w:val="8"/>
        </w:numPr>
        <w:ind w:left="567" w:hanging="567"/>
        <w:jc w:val="both"/>
        <w:outlineLvl w:val="0"/>
        <w:rPr>
          <w:b/>
          <w:szCs w:val="22"/>
        </w:rPr>
      </w:pPr>
      <w:r>
        <w:rPr>
          <w:szCs w:val="22"/>
        </w:rPr>
        <w:t>Rodents and in particular rats can have a significant public health impact, spreading various diseases and damag</w:t>
      </w:r>
      <w:r w:rsidR="00B01C6E">
        <w:rPr>
          <w:szCs w:val="22"/>
        </w:rPr>
        <w:t>ing</w:t>
      </w:r>
      <w:r>
        <w:rPr>
          <w:szCs w:val="22"/>
        </w:rPr>
        <w:t xml:space="preserve"> property. </w:t>
      </w:r>
      <w:r w:rsidR="001651B0">
        <w:rPr>
          <w:szCs w:val="22"/>
        </w:rPr>
        <w:t>The summer months are particularly cause for concern with the heat causing a</w:t>
      </w:r>
      <w:r w:rsidR="0088036C">
        <w:rPr>
          <w:szCs w:val="22"/>
        </w:rPr>
        <w:t>n</w:t>
      </w:r>
      <w:r w:rsidR="001651B0">
        <w:rPr>
          <w:szCs w:val="22"/>
        </w:rPr>
        <w:t xml:space="preserve"> increase in population of rodents.</w:t>
      </w:r>
    </w:p>
    <w:p w:rsidR="001651B0" w:rsidRDefault="001651B0" w:rsidP="001651B0">
      <w:pPr>
        <w:pStyle w:val="ListParagraph"/>
        <w:rPr>
          <w:b/>
        </w:rPr>
      </w:pPr>
    </w:p>
    <w:p w:rsidR="001651B0" w:rsidRPr="00DF5903" w:rsidRDefault="00DF5903" w:rsidP="008B3CB3">
      <w:pPr>
        <w:keepNext/>
        <w:numPr>
          <w:ilvl w:val="1"/>
          <w:numId w:val="8"/>
        </w:numPr>
        <w:ind w:left="567" w:hanging="567"/>
        <w:jc w:val="both"/>
        <w:outlineLvl w:val="0"/>
        <w:rPr>
          <w:b/>
          <w:szCs w:val="22"/>
        </w:rPr>
      </w:pPr>
      <w:r>
        <w:rPr>
          <w:szCs w:val="22"/>
        </w:rPr>
        <w:t xml:space="preserve">Evidence from the </w:t>
      </w:r>
      <w:r w:rsidR="00CD2BE7">
        <w:rPr>
          <w:szCs w:val="22"/>
        </w:rPr>
        <w:t>c</w:t>
      </w:r>
      <w:r>
        <w:rPr>
          <w:szCs w:val="22"/>
        </w:rPr>
        <w:t>ouncil’s Pest Control Officers have shown that residents are now relying on DIY treatments which are less effective and increasing the amount of poison in the environment.</w:t>
      </w:r>
    </w:p>
    <w:p w:rsidR="00DF5903" w:rsidRDefault="00DF5903" w:rsidP="00DF5903">
      <w:pPr>
        <w:pStyle w:val="ListParagraph"/>
        <w:rPr>
          <w:b/>
        </w:rPr>
      </w:pPr>
    </w:p>
    <w:p w:rsidR="00DF5903" w:rsidRPr="00CC2DF9" w:rsidRDefault="005440EC" w:rsidP="008B3CB3">
      <w:pPr>
        <w:keepNext/>
        <w:numPr>
          <w:ilvl w:val="1"/>
          <w:numId w:val="8"/>
        </w:numPr>
        <w:ind w:left="567" w:hanging="567"/>
        <w:jc w:val="both"/>
        <w:outlineLvl w:val="0"/>
        <w:rPr>
          <w:b/>
          <w:szCs w:val="22"/>
        </w:rPr>
      </w:pPr>
      <w:r>
        <w:rPr>
          <w:szCs w:val="22"/>
        </w:rPr>
        <w:t>Effective treatments require a strategic approach</w:t>
      </w:r>
      <w:r w:rsidR="007C2B0E">
        <w:rPr>
          <w:szCs w:val="22"/>
        </w:rPr>
        <w:t xml:space="preserve"> in an area to really control a rodent population</w:t>
      </w:r>
      <w:r>
        <w:rPr>
          <w:szCs w:val="22"/>
        </w:rPr>
        <w:t xml:space="preserve"> and evidence from the </w:t>
      </w:r>
      <w:r w:rsidR="00CD2BE7">
        <w:rPr>
          <w:szCs w:val="22"/>
        </w:rPr>
        <w:t>c</w:t>
      </w:r>
      <w:r>
        <w:rPr>
          <w:szCs w:val="22"/>
        </w:rPr>
        <w:t>ouncil’s Pest Control Officers has shown this is not taking place due to the significant reduction in treatments.</w:t>
      </w:r>
    </w:p>
    <w:p w:rsidR="00CC2DF9" w:rsidRDefault="00CC2DF9" w:rsidP="008B3CB3">
      <w:pPr>
        <w:pStyle w:val="ListParagraph"/>
        <w:jc w:val="both"/>
      </w:pPr>
    </w:p>
    <w:p w:rsidR="00CC2DF9" w:rsidRPr="00B01C6E" w:rsidRDefault="00CC2DF9" w:rsidP="008B3CB3">
      <w:pPr>
        <w:keepNext/>
        <w:numPr>
          <w:ilvl w:val="1"/>
          <w:numId w:val="8"/>
        </w:numPr>
        <w:ind w:left="567" w:hanging="567"/>
        <w:jc w:val="both"/>
        <w:outlineLvl w:val="0"/>
        <w:rPr>
          <w:b/>
          <w:szCs w:val="22"/>
        </w:rPr>
      </w:pPr>
      <w:r>
        <w:rPr>
          <w:szCs w:val="22"/>
        </w:rPr>
        <w:t xml:space="preserve">The </w:t>
      </w:r>
      <w:r w:rsidR="00CD2BE7">
        <w:rPr>
          <w:szCs w:val="22"/>
        </w:rPr>
        <w:t>c</w:t>
      </w:r>
      <w:r>
        <w:rPr>
          <w:szCs w:val="22"/>
        </w:rPr>
        <w:t xml:space="preserve">ouncil has a legal duty under the Prevention of Damage By Pests Act 1949 to take steps to secure as far as practicable that their district is kept free from rats and mice, and in particular to destroy rats and mice on their own land and to enforce the duties of owners and occupiers of land. </w:t>
      </w:r>
    </w:p>
    <w:p w:rsidR="00B01C6E" w:rsidRPr="00CC2DF9" w:rsidRDefault="00B01C6E" w:rsidP="008B3CB3">
      <w:pPr>
        <w:keepNext/>
        <w:ind w:left="567"/>
        <w:outlineLvl w:val="0"/>
        <w:rPr>
          <w:b/>
          <w:szCs w:val="22"/>
        </w:rPr>
      </w:pPr>
    </w:p>
    <w:p w:rsidR="008C04DA" w:rsidRPr="008C04DA" w:rsidRDefault="008C04DA" w:rsidP="008C04DA">
      <w:pPr>
        <w:keepNext/>
        <w:ind w:left="360"/>
        <w:outlineLvl w:val="0"/>
        <w:rPr>
          <w:szCs w:val="22"/>
        </w:rPr>
      </w:pPr>
    </w:p>
    <w:p w:rsidR="00EF3B6C" w:rsidRDefault="0037228A" w:rsidP="00EE1755">
      <w:pPr>
        <w:keepNext/>
        <w:numPr>
          <w:ilvl w:val="0"/>
          <w:numId w:val="8"/>
        </w:numPr>
        <w:ind w:left="567" w:hanging="567"/>
        <w:outlineLvl w:val="0"/>
        <w:rPr>
          <w:b/>
          <w:szCs w:val="22"/>
        </w:rPr>
      </w:pPr>
      <w:r w:rsidRPr="002C2510">
        <w:rPr>
          <w:b/>
          <w:szCs w:val="22"/>
        </w:rPr>
        <w:t xml:space="preserve">PROPOSALS </w:t>
      </w:r>
    </w:p>
    <w:p w:rsidR="002C2510" w:rsidRPr="002C2510" w:rsidRDefault="002C2510" w:rsidP="002C2510">
      <w:pPr>
        <w:keepNext/>
        <w:ind w:left="567"/>
        <w:outlineLvl w:val="0"/>
        <w:rPr>
          <w:b/>
          <w:szCs w:val="22"/>
        </w:rPr>
      </w:pPr>
    </w:p>
    <w:p w:rsidR="008B3CB3" w:rsidRDefault="008B3CB3" w:rsidP="008B3CB3">
      <w:pPr>
        <w:keepNext/>
        <w:numPr>
          <w:ilvl w:val="1"/>
          <w:numId w:val="8"/>
        </w:numPr>
        <w:ind w:hanging="720"/>
        <w:jc w:val="both"/>
        <w:outlineLvl w:val="0"/>
        <w:rPr>
          <w:szCs w:val="22"/>
        </w:rPr>
      </w:pPr>
      <w:r>
        <w:rPr>
          <w:szCs w:val="22"/>
        </w:rPr>
        <w:t>In the interest of public health</w:t>
      </w:r>
      <w:r w:rsidR="00CD2BE7">
        <w:rPr>
          <w:szCs w:val="22"/>
        </w:rPr>
        <w:t xml:space="preserve"> the proposal is</w:t>
      </w:r>
      <w:r>
        <w:rPr>
          <w:szCs w:val="22"/>
        </w:rPr>
        <w:t xml:space="preserve"> to temporarily suspend the fees and charges for domestic rodent treatments within the borough until the </w:t>
      </w:r>
      <w:r w:rsidR="00CD2BE7">
        <w:rPr>
          <w:szCs w:val="22"/>
        </w:rPr>
        <w:t>11</w:t>
      </w:r>
      <w:r w:rsidRPr="008B3CB3">
        <w:rPr>
          <w:szCs w:val="22"/>
          <w:vertAlign w:val="superscript"/>
        </w:rPr>
        <w:t>th</w:t>
      </w:r>
      <w:r w:rsidR="005440EC">
        <w:rPr>
          <w:szCs w:val="22"/>
        </w:rPr>
        <w:t xml:space="preserve"> July 2018 when a Fees and Charges report will be presented for approval at Cabinet.</w:t>
      </w:r>
    </w:p>
    <w:p w:rsidR="008C04DA" w:rsidRPr="00665EE7" w:rsidRDefault="008C04DA" w:rsidP="008B3CB3">
      <w:pPr>
        <w:ind w:left="567" w:hanging="709"/>
        <w:jc w:val="both"/>
        <w:rPr>
          <w:rFonts w:cs="Arial"/>
        </w:rPr>
      </w:pPr>
    </w:p>
    <w:p w:rsidR="007A0801" w:rsidRPr="000828CC" w:rsidRDefault="001A24F9" w:rsidP="007A0801">
      <w:pPr>
        <w:numPr>
          <w:ilvl w:val="0"/>
          <w:numId w:val="8"/>
        </w:numPr>
        <w:ind w:left="567" w:hanging="567"/>
        <w:rPr>
          <w:rFonts w:cs="Arial"/>
          <w:b/>
        </w:rPr>
      </w:pPr>
      <w:r w:rsidRPr="000828CC">
        <w:rPr>
          <w:rFonts w:cs="Arial"/>
          <w:b/>
        </w:rPr>
        <w:t>CONSULTATION CARRIED</w:t>
      </w:r>
      <w:r w:rsidR="007A0801" w:rsidRPr="000828CC">
        <w:rPr>
          <w:rFonts w:cs="Arial"/>
          <w:b/>
        </w:rPr>
        <w:t xml:space="preserve"> OUT AND OUTCOME OF CONSULTATION</w:t>
      </w:r>
    </w:p>
    <w:p w:rsidR="007A0801" w:rsidRPr="00665EE7" w:rsidRDefault="007A0801" w:rsidP="007A0801">
      <w:pPr>
        <w:ind w:left="567"/>
        <w:rPr>
          <w:rFonts w:cs="Arial"/>
        </w:rPr>
      </w:pPr>
    </w:p>
    <w:p w:rsidR="004859DE" w:rsidRPr="00D775C5" w:rsidRDefault="00B01C6E" w:rsidP="004859DE">
      <w:pPr>
        <w:numPr>
          <w:ilvl w:val="1"/>
          <w:numId w:val="8"/>
        </w:numPr>
        <w:ind w:left="567" w:hanging="567"/>
        <w:rPr>
          <w:rFonts w:cs="Arial"/>
          <w:b/>
        </w:rPr>
      </w:pPr>
      <w:r>
        <w:rPr>
          <w:rFonts w:cs="Arial"/>
        </w:rPr>
        <w:t>No consultation has been undertaken.</w:t>
      </w:r>
    </w:p>
    <w:p w:rsidR="001A24F9" w:rsidRPr="00665EE7" w:rsidRDefault="001A24F9" w:rsidP="001A24F9">
      <w:pPr>
        <w:ind w:left="360"/>
        <w:rPr>
          <w:rFonts w:cs="Arial"/>
          <w:color w:val="2E74B5" w:themeColor="accent1" w:themeShade="BF"/>
        </w:rPr>
      </w:pPr>
    </w:p>
    <w:p w:rsidR="001A24F9" w:rsidRPr="000828CC" w:rsidRDefault="008770BE" w:rsidP="000427E0">
      <w:pPr>
        <w:numPr>
          <w:ilvl w:val="0"/>
          <w:numId w:val="8"/>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8B3CB3">
      <w:pPr>
        <w:ind w:left="567"/>
        <w:jc w:val="both"/>
        <w:rPr>
          <w:rFonts w:cs="Arial"/>
          <w:b/>
        </w:rPr>
      </w:pPr>
    </w:p>
    <w:p w:rsidR="001A24F9" w:rsidRPr="00D775C5" w:rsidRDefault="00B01C6E" w:rsidP="008B3CB3">
      <w:pPr>
        <w:numPr>
          <w:ilvl w:val="1"/>
          <w:numId w:val="8"/>
        </w:numPr>
        <w:ind w:left="567" w:hanging="567"/>
        <w:jc w:val="both"/>
        <w:rPr>
          <w:rFonts w:cs="Arial"/>
          <w:b/>
        </w:rPr>
      </w:pPr>
      <w:r>
        <w:rPr>
          <w:rFonts w:cs="Arial"/>
        </w:rPr>
        <w:t xml:space="preserve">Maintain the fees and charges until the </w:t>
      </w:r>
      <w:r w:rsidR="00CD2BE7">
        <w:rPr>
          <w:rFonts w:cs="Arial"/>
        </w:rPr>
        <w:t>11</w:t>
      </w:r>
      <w:r w:rsidRPr="00B01C6E">
        <w:rPr>
          <w:rFonts w:cs="Arial"/>
          <w:vertAlign w:val="superscript"/>
        </w:rPr>
        <w:t>th</w:t>
      </w:r>
      <w:r>
        <w:rPr>
          <w:rFonts w:cs="Arial"/>
        </w:rPr>
        <w:t xml:space="preserve"> July 2018 when a full report can be presented to Council detailing all available options and the likely impact.</w:t>
      </w:r>
    </w:p>
    <w:p w:rsidR="001A24F9" w:rsidRPr="000828CC" w:rsidRDefault="001A24F9" w:rsidP="008B3CB3">
      <w:pPr>
        <w:jc w:val="both"/>
        <w:rPr>
          <w:rFonts w:cs="Arial"/>
          <w:b/>
        </w:rPr>
      </w:pPr>
    </w:p>
    <w:p w:rsidR="001A24F9" w:rsidRPr="000828CC" w:rsidRDefault="001A24F9" w:rsidP="000427E0">
      <w:pPr>
        <w:numPr>
          <w:ilvl w:val="0"/>
          <w:numId w:val="8"/>
        </w:numPr>
        <w:ind w:left="567" w:hanging="567"/>
        <w:rPr>
          <w:rFonts w:cs="Arial"/>
          <w:b/>
          <w:caps/>
        </w:rPr>
      </w:pPr>
      <w:r w:rsidRPr="000828CC">
        <w:rPr>
          <w:rFonts w:cs="Arial"/>
          <w:b/>
          <w:caps/>
        </w:rPr>
        <w:t>Financial implications</w:t>
      </w:r>
    </w:p>
    <w:p w:rsidR="007A0801" w:rsidRPr="000828CC" w:rsidRDefault="007A0801" w:rsidP="007A0801">
      <w:pPr>
        <w:ind w:left="567"/>
        <w:rPr>
          <w:rFonts w:cs="Arial"/>
          <w:b/>
          <w:caps/>
        </w:rPr>
      </w:pPr>
    </w:p>
    <w:p w:rsidR="005C598A" w:rsidRPr="005C598A" w:rsidRDefault="00B01C6E" w:rsidP="008B3CB3">
      <w:pPr>
        <w:numPr>
          <w:ilvl w:val="1"/>
          <w:numId w:val="8"/>
        </w:numPr>
        <w:ind w:left="567" w:hanging="567"/>
        <w:jc w:val="both"/>
        <w:rPr>
          <w:rFonts w:cs="Arial"/>
          <w:b/>
          <w:color w:val="2E74B5" w:themeColor="accent1" w:themeShade="BF"/>
        </w:rPr>
      </w:pPr>
      <w:r>
        <w:t>The temporary suspension of fees and charges will have a financial impact on the servi</w:t>
      </w:r>
      <w:r w:rsidR="005440EC">
        <w:t>ces income. There is cu</w:t>
      </w:r>
      <w:r w:rsidR="007C2B0E">
        <w:t>rrently an income target for this</w:t>
      </w:r>
      <w:r w:rsidR="005440EC">
        <w:t xml:space="preserve"> service of £20,000</w:t>
      </w:r>
      <w:r w:rsidR="007C2B0E">
        <w:t>.</w:t>
      </w:r>
    </w:p>
    <w:p w:rsidR="001A24F9" w:rsidRPr="00396EB2" w:rsidRDefault="001A24F9" w:rsidP="005C598A">
      <w:pPr>
        <w:rPr>
          <w:rFonts w:cs="Arial"/>
          <w:b/>
          <w:color w:val="2E74B5" w:themeColor="accent1" w:themeShade="BF"/>
        </w:rPr>
      </w:pPr>
    </w:p>
    <w:p w:rsidR="00396EB2" w:rsidRPr="00396EB2" w:rsidRDefault="00396EB2" w:rsidP="00396EB2">
      <w:pPr>
        <w:ind w:left="567"/>
        <w:rPr>
          <w:rFonts w:cs="Arial"/>
          <w:b/>
          <w:color w:val="2E74B5" w:themeColor="accent1" w:themeShade="BF"/>
        </w:rPr>
      </w:pPr>
    </w:p>
    <w:p w:rsidR="007A0801" w:rsidRPr="000828CC" w:rsidRDefault="007A0801" w:rsidP="000427E0">
      <w:pPr>
        <w:numPr>
          <w:ilvl w:val="0"/>
          <w:numId w:val="8"/>
        </w:numPr>
        <w:ind w:left="567" w:hanging="567"/>
        <w:rPr>
          <w:rFonts w:cs="Arial"/>
          <w:b/>
          <w:caps/>
        </w:rPr>
      </w:pPr>
      <w:r w:rsidRPr="000828CC">
        <w:rPr>
          <w:rFonts w:cs="Arial"/>
          <w:b/>
          <w:caps/>
        </w:rPr>
        <w:t>LEGAL IMPLICATIONS</w:t>
      </w:r>
    </w:p>
    <w:p w:rsidR="007A0801" w:rsidRPr="000828CC" w:rsidRDefault="007A0801" w:rsidP="007A0801">
      <w:pPr>
        <w:rPr>
          <w:rFonts w:cs="Arial"/>
          <w:b/>
          <w:caps/>
        </w:rPr>
      </w:pPr>
    </w:p>
    <w:p w:rsidR="00C619EA" w:rsidRDefault="00C619EA" w:rsidP="008B3CB3">
      <w:pPr>
        <w:ind w:left="567" w:hanging="567"/>
        <w:jc w:val="both"/>
        <w:rPr>
          <w:rFonts w:cs="Arial"/>
          <w:i/>
        </w:rPr>
      </w:pPr>
      <w:r>
        <w:rPr>
          <w:rFonts w:cs="Arial"/>
          <w:caps/>
        </w:rPr>
        <w:t>9</w:t>
      </w:r>
      <w:r w:rsidR="007A0801" w:rsidRPr="000828CC">
        <w:rPr>
          <w:rFonts w:cs="Arial"/>
          <w:caps/>
        </w:rPr>
        <w:t>.1</w:t>
      </w:r>
      <w:r w:rsidR="005440EC">
        <w:rPr>
          <w:rFonts w:cs="Arial"/>
          <w:caps/>
        </w:rPr>
        <w:t xml:space="preserve"> </w:t>
      </w:r>
      <w:r w:rsidR="005440EC">
        <w:rPr>
          <w:rFonts w:cs="Arial"/>
        </w:rPr>
        <w:t xml:space="preserve">   </w:t>
      </w:r>
      <w:r w:rsidR="007B7FB5">
        <w:rPr>
          <w:rFonts w:cs="Arial"/>
        </w:rPr>
        <w:t xml:space="preserve">The charging for the service is discretionary and the Council can alter the charges, in line with the constitution as they </w:t>
      </w:r>
      <w:r w:rsidR="008B3CB3">
        <w:rPr>
          <w:rFonts w:cs="Arial"/>
        </w:rPr>
        <w:t>determine</w:t>
      </w:r>
      <w:r w:rsidR="007B7FB5">
        <w:rPr>
          <w:rFonts w:cs="Arial"/>
        </w:rPr>
        <w:t xml:space="preserve">. </w:t>
      </w:r>
      <w:r w:rsidR="007E73C2" w:rsidRPr="007E73C2">
        <w:rPr>
          <w:rFonts w:cs="Arial"/>
          <w:i/>
        </w:rPr>
        <w:t xml:space="preserve"> </w:t>
      </w:r>
    </w:p>
    <w:p w:rsidR="00C619EA" w:rsidRDefault="00C619EA" w:rsidP="008B3CB3">
      <w:pPr>
        <w:ind w:left="567" w:hanging="567"/>
        <w:jc w:val="both"/>
        <w:rPr>
          <w:rFonts w:cs="Arial"/>
          <w:i/>
        </w:rPr>
      </w:pPr>
    </w:p>
    <w:p w:rsidR="00C619EA" w:rsidRPr="002D5A30" w:rsidRDefault="00C619EA" w:rsidP="008B3CB3">
      <w:pPr>
        <w:ind w:left="567" w:hanging="567"/>
        <w:jc w:val="both"/>
        <w:rPr>
          <w:rFonts w:cs="Arial"/>
          <w:caps/>
        </w:rPr>
      </w:pPr>
    </w:p>
    <w:p w:rsidR="007A0801" w:rsidRPr="007A0801" w:rsidRDefault="007A0801" w:rsidP="007A0801">
      <w:pPr>
        <w:rPr>
          <w:rFonts w:cs="Arial"/>
          <w:caps/>
        </w:rPr>
      </w:pPr>
    </w:p>
    <w:p w:rsidR="001A24F9" w:rsidRDefault="001A24F9" w:rsidP="000427E0">
      <w:pPr>
        <w:numPr>
          <w:ilvl w:val="0"/>
          <w:numId w:val="8"/>
        </w:numPr>
        <w:ind w:left="567" w:hanging="567"/>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1A24F9" w:rsidRPr="00BB4A94" w:rsidRDefault="00BB4A94" w:rsidP="007A0801">
      <w:pPr>
        <w:numPr>
          <w:ilvl w:val="1"/>
          <w:numId w:val="8"/>
        </w:numPr>
        <w:ind w:left="567" w:hanging="567"/>
        <w:rPr>
          <w:rFonts w:cs="Arial"/>
          <w:b/>
          <w:caps/>
        </w:rPr>
      </w:pPr>
      <w:r w:rsidRPr="00BB4A94">
        <w:rPr>
          <w:rFonts w:cs="Arial"/>
        </w:rPr>
        <w:t xml:space="preserve">None </w:t>
      </w:r>
      <w:r>
        <w:rPr>
          <w:rFonts w:cs="Arial"/>
        </w:rPr>
        <w:t>anticipated</w:t>
      </w:r>
      <w:r w:rsidRPr="00BB4A94">
        <w:rPr>
          <w:rFonts w:cs="Arial"/>
        </w:rPr>
        <w:t xml:space="preserve">.  </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911FD5" w:rsidRDefault="00BB4A94" w:rsidP="00911FD5">
      <w:pPr>
        <w:numPr>
          <w:ilvl w:val="1"/>
          <w:numId w:val="8"/>
        </w:numPr>
        <w:ind w:left="567" w:hanging="567"/>
        <w:rPr>
          <w:rFonts w:cs="Arial"/>
          <w:caps/>
        </w:rPr>
      </w:pPr>
      <w:r w:rsidRPr="00BB4A94">
        <w:rPr>
          <w:rFonts w:cs="Arial"/>
        </w:rPr>
        <w:t xml:space="preserve">None </w:t>
      </w:r>
      <w:r>
        <w:rPr>
          <w:rFonts w:cs="Arial"/>
        </w:rPr>
        <w:t>anticipated</w:t>
      </w:r>
      <w:r w:rsidRPr="00BB4A94">
        <w:rPr>
          <w:rFonts w:cs="Arial"/>
        </w:rPr>
        <w:t xml:space="preserve">.  </w:t>
      </w:r>
    </w:p>
    <w:p w:rsidR="001A24F9" w:rsidRDefault="001A24F9" w:rsidP="001A24F9">
      <w:pPr>
        <w:rPr>
          <w:rFonts w:cs="Arial"/>
          <w:b/>
        </w:rPr>
      </w:pPr>
    </w:p>
    <w:p w:rsidR="001A24F9" w:rsidRDefault="001A24F9" w:rsidP="000427E0">
      <w:pPr>
        <w:numPr>
          <w:ilvl w:val="0"/>
          <w:numId w:val="8"/>
        </w:numPr>
        <w:ind w:left="567" w:hanging="567"/>
        <w:rPr>
          <w:rFonts w:cs="Arial"/>
          <w:b/>
          <w:caps/>
        </w:rPr>
      </w:pPr>
      <w:r w:rsidRPr="00491976">
        <w:rPr>
          <w:rFonts w:cs="Arial"/>
          <w:b/>
          <w:caps/>
        </w:rPr>
        <w:t>Property and Asset Management implications</w:t>
      </w:r>
    </w:p>
    <w:p w:rsidR="00911FD5" w:rsidRPr="009D19B9" w:rsidRDefault="00911FD5" w:rsidP="00911FD5">
      <w:pPr>
        <w:ind w:left="567"/>
        <w:rPr>
          <w:rFonts w:cs="Arial"/>
          <w:b/>
          <w:caps/>
        </w:rPr>
      </w:pPr>
    </w:p>
    <w:p w:rsidR="003012F3" w:rsidRPr="009D19B9" w:rsidRDefault="00B01C6E" w:rsidP="003012F3">
      <w:pPr>
        <w:numPr>
          <w:ilvl w:val="1"/>
          <w:numId w:val="8"/>
        </w:numPr>
        <w:ind w:left="567" w:hanging="567"/>
        <w:rPr>
          <w:rFonts w:cs="Arial"/>
          <w:b/>
          <w:caps/>
        </w:rPr>
      </w:pPr>
      <w:r w:rsidRPr="00BB4A94">
        <w:rPr>
          <w:rFonts w:cs="Arial"/>
        </w:rPr>
        <w:t xml:space="preserve">None </w:t>
      </w:r>
      <w:r>
        <w:rPr>
          <w:rFonts w:cs="Arial"/>
        </w:rPr>
        <w:t>anticipated</w:t>
      </w:r>
      <w:r w:rsidR="009057C1" w:rsidRPr="009D19B9">
        <w:rPr>
          <w:rFonts w:cs="Arial"/>
        </w:rPr>
        <w:t xml:space="preserve">. </w:t>
      </w:r>
    </w:p>
    <w:p w:rsidR="003851C9" w:rsidRPr="009D19B9" w:rsidRDefault="003851C9" w:rsidP="009D19B9">
      <w:pPr>
        <w:ind w:left="567"/>
        <w:rPr>
          <w:rFonts w:cs="Arial"/>
          <w:b/>
          <w:caps/>
        </w:rPr>
      </w:pPr>
    </w:p>
    <w:p w:rsidR="003D4C72" w:rsidRPr="006D1F02" w:rsidRDefault="003D4C72" w:rsidP="001A24F9">
      <w:pPr>
        <w:ind w:left="284"/>
        <w:rPr>
          <w:rFonts w:cs="Arial"/>
          <w:b/>
        </w:rPr>
      </w:pPr>
    </w:p>
    <w:p w:rsidR="001A24F9" w:rsidRDefault="001A24F9" w:rsidP="000427E0">
      <w:pPr>
        <w:numPr>
          <w:ilvl w:val="0"/>
          <w:numId w:val="8"/>
        </w:numPr>
        <w:ind w:left="567" w:hanging="567"/>
        <w:rPr>
          <w:rFonts w:cs="Arial"/>
          <w:b/>
        </w:rPr>
      </w:pPr>
      <w:r>
        <w:rPr>
          <w:rFonts w:cs="Arial"/>
          <w:b/>
        </w:rPr>
        <w:t>RISK MANAGEMENT</w:t>
      </w:r>
    </w:p>
    <w:p w:rsidR="00911FD5" w:rsidRDefault="00911FD5" w:rsidP="00911FD5">
      <w:pPr>
        <w:ind w:left="567"/>
        <w:rPr>
          <w:rFonts w:cs="Arial"/>
          <w:b/>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0A7181" w:rsidRPr="000A7181" w:rsidRDefault="000A7181" w:rsidP="000A7181">
      <w:pPr>
        <w:pStyle w:val="ListParagraph"/>
        <w:numPr>
          <w:ilvl w:val="0"/>
          <w:numId w:val="13"/>
        </w:numPr>
        <w:rPr>
          <w:rFonts w:cs="Arial"/>
          <w:vanish/>
        </w:rPr>
      </w:pPr>
    </w:p>
    <w:p w:rsidR="00DF567D" w:rsidRPr="000A7181" w:rsidRDefault="000A7181" w:rsidP="008B3CB3">
      <w:pPr>
        <w:pStyle w:val="ListParagraph"/>
        <w:numPr>
          <w:ilvl w:val="1"/>
          <w:numId w:val="13"/>
        </w:numPr>
        <w:ind w:left="567" w:hanging="567"/>
        <w:jc w:val="both"/>
        <w:rPr>
          <w:rFonts w:ascii="Arial" w:hAnsi="Arial" w:cs="Arial"/>
          <w:b/>
        </w:rPr>
      </w:pPr>
      <w:r w:rsidRPr="000A7181">
        <w:rPr>
          <w:rFonts w:ascii="Arial" w:hAnsi="Arial" w:cs="Arial"/>
        </w:rPr>
        <w:t>The suspension of fees and charges will directly impact on the projected income from the service</w:t>
      </w:r>
      <w:r w:rsidR="005440EC">
        <w:rPr>
          <w:rFonts w:ascii="Arial" w:hAnsi="Arial" w:cs="Arial"/>
        </w:rPr>
        <w:t>.</w:t>
      </w:r>
    </w:p>
    <w:p w:rsidR="000A7181" w:rsidRPr="000A7181" w:rsidRDefault="000A7181" w:rsidP="008B3CB3">
      <w:pPr>
        <w:pStyle w:val="ListParagraph"/>
        <w:ind w:left="567"/>
        <w:jc w:val="both"/>
        <w:rPr>
          <w:rFonts w:ascii="Arial" w:hAnsi="Arial" w:cs="Arial"/>
          <w:b/>
        </w:rPr>
      </w:pPr>
    </w:p>
    <w:p w:rsidR="007B7FB5" w:rsidRPr="007C2B0E" w:rsidRDefault="000A7181" w:rsidP="0003360D">
      <w:pPr>
        <w:pStyle w:val="ListParagraph"/>
        <w:numPr>
          <w:ilvl w:val="1"/>
          <w:numId w:val="13"/>
        </w:numPr>
        <w:ind w:left="567" w:hanging="567"/>
        <w:jc w:val="both"/>
        <w:rPr>
          <w:rFonts w:ascii="Arial" w:hAnsi="Arial" w:cs="Arial"/>
        </w:rPr>
      </w:pPr>
      <w:r w:rsidRPr="000A7181">
        <w:rPr>
          <w:rFonts w:ascii="Arial" w:hAnsi="Arial" w:cs="Arial"/>
        </w:rPr>
        <w:t xml:space="preserve">Those residents of the borough who have </w:t>
      </w:r>
      <w:r w:rsidR="007C2B0E">
        <w:rPr>
          <w:rFonts w:ascii="Arial" w:hAnsi="Arial" w:cs="Arial"/>
        </w:rPr>
        <w:t>already paid for treatments may</w:t>
      </w:r>
      <w:r w:rsidRPr="000A7181">
        <w:rPr>
          <w:rFonts w:ascii="Arial" w:hAnsi="Arial" w:cs="Arial"/>
        </w:rPr>
        <w:t xml:space="preserve"> request refund</w:t>
      </w:r>
      <w:r w:rsidR="0003360D">
        <w:rPr>
          <w:rFonts w:ascii="Arial" w:hAnsi="Arial" w:cs="Arial"/>
        </w:rPr>
        <w:t>s</w:t>
      </w:r>
      <w:r w:rsidRPr="000A7181">
        <w:rPr>
          <w:rFonts w:ascii="Arial" w:hAnsi="Arial" w:cs="Arial"/>
        </w:rPr>
        <w:t>.</w:t>
      </w:r>
    </w:p>
    <w:p w:rsidR="008B3CB3" w:rsidRPr="008B3CB3" w:rsidRDefault="008B3CB3" w:rsidP="008B3CB3">
      <w:pPr>
        <w:pStyle w:val="ListParagraph"/>
        <w:jc w:val="both"/>
        <w:rPr>
          <w:rFonts w:ascii="Arial" w:hAnsi="Arial" w:cs="Arial"/>
        </w:rPr>
      </w:pPr>
    </w:p>
    <w:p w:rsidR="008B3CB3" w:rsidRDefault="008B3CB3" w:rsidP="008B3CB3">
      <w:pPr>
        <w:pStyle w:val="ListParagraph"/>
        <w:numPr>
          <w:ilvl w:val="1"/>
          <w:numId w:val="13"/>
        </w:numPr>
        <w:ind w:left="567" w:hanging="567"/>
        <w:jc w:val="both"/>
        <w:rPr>
          <w:rFonts w:ascii="Arial" w:hAnsi="Arial" w:cs="Arial"/>
        </w:rPr>
      </w:pPr>
      <w:r>
        <w:rPr>
          <w:rFonts w:ascii="Arial" w:hAnsi="Arial" w:cs="Arial"/>
        </w:rPr>
        <w:t>A suspension of the fees and charges is highly likely to result in a significant increase in rodent tr</w:t>
      </w:r>
      <w:r w:rsidR="00891CE8">
        <w:rPr>
          <w:rFonts w:ascii="Arial" w:hAnsi="Arial" w:cs="Arial"/>
        </w:rPr>
        <w:t>eatment requests which may lead to a backlog for Pest Control.</w:t>
      </w:r>
    </w:p>
    <w:p w:rsidR="000A7181" w:rsidRPr="000A7181" w:rsidRDefault="000A7181" w:rsidP="000A7181">
      <w:pPr>
        <w:pStyle w:val="ListParagraph"/>
        <w:rPr>
          <w:rFonts w:ascii="Arial" w:hAnsi="Arial" w:cs="Arial"/>
        </w:rPr>
      </w:pPr>
    </w:p>
    <w:p w:rsidR="000A7181" w:rsidRPr="000A7181" w:rsidRDefault="000A7181" w:rsidP="000A7181">
      <w:pPr>
        <w:pStyle w:val="ListParagraph"/>
        <w:ind w:left="567"/>
        <w:rPr>
          <w:rFonts w:ascii="Arial" w:hAnsi="Arial" w:cs="Arial"/>
        </w:rPr>
      </w:pPr>
    </w:p>
    <w:p w:rsidR="008770BE" w:rsidRPr="0037228A" w:rsidRDefault="008770BE" w:rsidP="001A24F9">
      <w:pPr>
        <w:rPr>
          <w:rFonts w:cs="Arial"/>
          <w:i/>
          <w:color w:val="4472C4"/>
        </w:rPr>
      </w:pPr>
    </w:p>
    <w:p w:rsidR="001A24F9" w:rsidRDefault="001A24F9" w:rsidP="000427E0">
      <w:pPr>
        <w:numPr>
          <w:ilvl w:val="0"/>
          <w:numId w:val="8"/>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6F780A" w:rsidRDefault="000A7181" w:rsidP="00BE0127">
      <w:pPr>
        <w:numPr>
          <w:ilvl w:val="1"/>
          <w:numId w:val="8"/>
        </w:numPr>
        <w:ind w:left="567" w:hanging="567"/>
        <w:rPr>
          <w:rFonts w:cs="Arial"/>
          <w:b/>
        </w:rPr>
      </w:pPr>
      <w:r>
        <w:rPr>
          <w:rFonts w:cs="Arial"/>
        </w:rPr>
        <w:t>The suspension applies to all domestic property in the borough and so there are no equality or diversity impacts.</w:t>
      </w:r>
    </w:p>
    <w:p w:rsidR="008770BE" w:rsidRPr="00BE0127" w:rsidRDefault="008770BE" w:rsidP="008770BE">
      <w:pPr>
        <w:ind w:left="567"/>
        <w:rPr>
          <w:rFonts w:cs="Arial"/>
          <w:b/>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911FD5" w:rsidRDefault="00911FD5" w:rsidP="00911FD5">
      <w:pPr>
        <w:pStyle w:val="ListParagraph"/>
        <w:ind w:left="567"/>
        <w:rPr>
          <w:rFonts w:ascii="Arial" w:hAnsi="Arial" w:cs="Arial"/>
          <w:b/>
        </w:rPr>
      </w:pPr>
    </w:p>
    <w:p w:rsidR="00B41CDE" w:rsidRPr="00B925C6" w:rsidRDefault="00891CE8" w:rsidP="00B925C6">
      <w:pPr>
        <w:pStyle w:val="ListParagraph"/>
        <w:numPr>
          <w:ilvl w:val="1"/>
          <w:numId w:val="8"/>
        </w:numPr>
        <w:ind w:left="567" w:hanging="567"/>
        <w:rPr>
          <w:rFonts w:ascii="Arial" w:hAnsi="Arial" w:cs="Arial"/>
          <w:b/>
        </w:rPr>
      </w:pPr>
      <w:r>
        <w:rPr>
          <w:rFonts w:ascii="Arial" w:hAnsi="Arial" w:cs="Arial"/>
        </w:rPr>
        <w:t>The Director recommends the suspension of fees for rodent treatment at domestic properties until the Fees and Charges paper is presented to Cabinet for approval on the 25</w:t>
      </w:r>
      <w:r w:rsidRPr="00891CE8">
        <w:rPr>
          <w:rFonts w:ascii="Arial" w:hAnsi="Arial" w:cs="Arial"/>
          <w:vertAlign w:val="superscript"/>
        </w:rPr>
        <w:t>th</w:t>
      </w:r>
      <w:r>
        <w:rPr>
          <w:rFonts w:ascii="Arial" w:hAnsi="Arial" w:cs="Arial"/>
        </w:rPr>
        <w:t xml:space="preserve"> July.</w:t>
      </w: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1A24F9" w:rsidRPr="00970C70" w:rsidRDefault="00E53346" w:rsidP="00911FD5">
      <w:pPr>
        <w:numPr>
          <w:ilvl w:val="1"/>
          <w:numId w:val="8"/>
        </w:numPr>
        <w:ind w:left="567" w:hanging="567"/>
        <w:rPr>
          <w:rFonts w:cs="Arial"/>
          <w:b/>
          <w:color w:val="2E74B5" w:themeColor="accent1" w:themeShade="BF"/>
        </w:rPr>
      </w:pPr>
      <w:r>
        <w:t xml:space="preserve">Based on the current levels of income, the estimated loss of income </w:t>
      </w:r>
      <w:r w:rsidR="00BD6BEC">
        <w:t xml:space="preserve">to the Council </w:t>
      </w:r>
      <w:r>
        <w:t xml:space="preserve">from residential customers will be in the region of £1,200 - £1,500 per </w:t>
      </w:r>
      <w:r w:rsidR="00BD6BEC">
        <w:t>month. There will be no reduction in costs as the Pest Control service will continue to be provided.</w:t>
      </w:r>
    </w:p>
    <w:p w:rsidR="001A24F9" w:rsidRPr="004206AE" w:rsidRDefault="001A24F9" w:rsidP="001A24F9">
      <w:pPr>
        <w:rPr>
          <w:rFonts w:cs="Arial"/>
          <w:b/>
          <w:i/>
        </w:rPr>
      </w:pPr>
    </w:p>
    <w:p w:rsidR="001A24F9" w:rsidRDefault="001A24F9" w:rsidP="006F780A">
      <w:pPr>
        <w:numPr>
          <w:ilvl w:val="0"/>
          <w:numId w:val="8"/>
        </w:numPr>
        <w:ind w:left="567" w:hanging="567"/>
        <w:rPr>
          <w:rFonts w:cs="Arial"/>
          <w:b/>
        </w:rPr>
      </w:pPr>
      <w:r w:rsidRPr="000A68B2">
        <w:rPr>
          <w:rFonts w:cs="Arial"/>
          <w:b/>
        </w:rPr>
        <w:t>C</w:t>
      </w:r>
      <w:r>
        <w:rPr>
          <w:rFonts w:cs="Arial"/>
          <w:b/>
        </w:rPr>
        <w:t>OMMENTS OF THE MONITORING OFFICER</w:t>
      </w:r>
    </w:p>
    <w:p w:rsidR="00911FD5" w:rsidRDefault="00911FD5" w:rsidP="006F780A">
      <w:pPr>
        <w:ind w:left="567" w:hanging="567"/>
        <w:rPr>
          <w:rFonts w:cs="Arial"/>
          <w:b/>
        </w:rPr>
      </w:pPr>
    </w:p>
    <w:p w:rsidR="000427E0" w:rsidRDefault="00B1161D" w:rsidP="00B1161D">
      <w:pPr>
        <w:ind w:left="567"/>
        <w:rPr>
          <w:rFonts w:cs="Arial"/>
        </w:rPr>
      </w:pPr>
      <w:r w:rsidRPr="002D5A30">
        <w:rPr>
          <w:rFonts w:cs="Arial"/>
        </w:rPr>
        <w:t>Please see legal implications section for full details but we would be acting within our powers if we were to proceed as suggested.</w:t>
      </w:r>
    </w:p>
    <w:p w:rsidR="00CD2BE7" w:rsidRDefault="00CD2BE7" w:rsidP="00B1161D">
      <w:pPr>
        <w:ind w:left="567"/>
        <w:rPr>
          <w:rFonts w:cs="Arial"/>
        </w:rPr>
      </w:pPr>
    </w:p>
    <w:p w:rsidR="00CD2BE7" w:rsidRPr="002D5A30" w:rsidRDefault="00CD2BE7" w:rsidP="00B1161D">
      <w:pPr>
        <w:ind w:left="567"/>
        <w:rPr>
          <w:rFonts w:cs="Arial"/>
        </w:rPr>
      </w:pPr>
      <w:r>
        <w:rPr>
          <w:rFonts w:cs="Arial"/>
        </w:rPr>
        <w:t>In accordance with our Constitution the Chair of Scrutiny has been spoken to and he has agreed that this item can proceed as an urgent item.</w:t>
      </w:r>
    </w:p>
    <w:p w:rsidR="002D5A30" w:rsidRDefault="002D5A30" w:rsidP="00B1161D">
      <w:pPr>
        <w:ind w:left="567"/>
        <w:rPr>
          <w:rFonts w:cs="Arial"/>
          <w:b/>
        </w:rPr>
      </w:pPr>
    </w:p>
    <w:p w:rsidR="001A24F9" w:rsidRDefault="006F780A" w:rsidP="006F780A">
      <w:pPr>
        <w:numPr>
          <w:ilvl w:val="0"/>
          <w:numId w:val="8"/>
        </w:numPr>
        <w:ind w:left="567" w:hanging="567"/>
        <w:rPr>
          <w:rFonts w:cs="Arial"/>
          <w:b/>
        </w:rPr>
      </w:pPr>
      <w:r>
        <w:rPr>
          <w:rFonts w:cs="Arial"/>
          <w:b/>
        </w:rPr>
        <w:t>BACKGROUND DOCUMENTS</w:t>
      </w:r>
    </w:p>
    <w:p w:rsidR="00911FD5" w:rsidRDefault="00911FD5" w:rsidP="006F780A">
      <w:pPr>
        <w:ind w:left="567" w:hanging="567"/>
        <w:rPr>
          <w:rFonts w:cs="Arial"/>
          <w:b/>
        </w:rPr>
      </w:pPr>
    </w:p>
    <w:p w:rsidR="006F780A" w:rsidRDefault="00891CE8" w:rsidP="00891CE8">
      <w:pPr>
        <w:rPr>
          <w:rFonts w:cs="Arial"/>
        </w:rPr>
      </w:pPr>
      <w:r>
        <w:rPr>
          <w:rFonts w:cs="Arial"/>
        </w:rPr>
        <w:t xml:space="preserve"> None</w:t>
      </w:r>
    </w:p>
    <w:p w:rsidR="004C2F94" w:rsidRPr="00970C70" w:rsidRDefault="006F780A" w:rsidP="006F780A">
      <w:pPr>
        <w:ind w:left="567" w:hanging="567"/>
        <w:rPr>
          <w:rFonts w:cs="Arial"/>
          <w:b/>
          <w:color w:val="2E74B5" w:themeColor="accent1" w:themeShade="BF"/>
        </w:rPr>
      </w:pPr>
      <w:r>
        <w:rPr>
          <w:rFonts w:cs="Arial"/>
        </w:rPr>
        <w:t xml:space="preserve"> </w:t>
      </w:r>
    </w:p>
    <w:p w:rsidR="004C2F94" w:rsidRPr="004C2F94" w:rsidRDefault="00CD2BE7" w:rsidP="006F780A">
      <w:pPr>
        <w:ind w:left="567" w:hanging="567"/>
        <w:rPr>
          <w:b/>
        </w:rPr>
      </w:pPr>
      <w:r>
        <w:rPr>
          <w:b/>
        </w:rPr>
        <w:t>19</w:t>
      </w:r>
      <w:r w:rsidR="004C2F94" w:rsidRPr="000828CC">
        <w:rPr>
          <w:b/>
        </w:rPr>
        <w:t>.</w:t>
      </w:r>
      <w:r w:rsidR="006F780A">
        <w:rPr>
          <w:b/>
          <w:color w:val="0070C0"/>
        </w:rPr>
        <w:t xml:space="preserve"> </w:t>
      </w:r>
      <w:r w:rsidR="006F780A">
        <w:rPr>
          <w:b/>
          <w:color w:val="0070C0"/>
        </w:rPr>
        <w:tab/>
      </w:r>
      <w:r w:rsidR="006F780A">
        <w:rPr>
          <w:b/>
        </w:rPr>
        <w:t>APPENDICES</w:t>
      </w:r>
    </w:p>
    <w:p w:rsidR="004C2F94" w:rsidRPr="004C2F94" w:rsidRDefault="004C2F94" w:rsidP="004C2F94">
      <w:pPr>
        <w:rPr>
          <w:rFonts w:cs="Arial"/>
          <w:b/>
        </w:rPr>
      </w:pPr>
    </w:p>
    <w:p w:rsidR="0037228A" w:rsidRDefault="0037228A" w:rsidP="0037228A">
      <w:pPr>
        <w:tabs>
          <w:tab w:val="left" w:pos="2839"/>
        </w:tabs>
        <w:ind w:left="1146"/>
        <w:rPr>
          <w:b/>
        </w:rPr>
      </w:pPr>
    </w:p>
    <w:p w:rsidR="0037228A" w:rsidRPr="001B7F80" w:rsidRDefault="001B7F80" w:rsidP="0037228A">
      <w:pPr>
        <w:tabs>
          <w:tab w:val="left" w:pos="2839"/>
        </w:tabs>
        <w:rPr>
          <w:rFonts w:cs="Arial"/>
        </w:rPr>
      </w:pPr>
      <w:r w:rsidRPr="001B7F80">
        <w:rPr>
          <w:rFonts w:cs="Arial"/>
        </w:rPr>
        <w:t>Jennifer Mullin</w:t>
      </w:r>
    </w:p>
    <w:p w:rsidR="001B7F80" w:rsidRPr="001B7F80" w:rsidRDefault="001B7F80" w:rsidP="0037228A">
      <w:pPr>
        <w:tabs>
          <w:tab w:val="left" w:pos="2839"/>
        </w:tabs>
        <w:rPr>
          <w:rFonts w:cs="Arial"/>
        </w:rPr>
      </w:pPr>
      <w:r w:rsidRPr="001B7F80">
        <w:rPr>
          <w:rFonts w:cs="Arial"/>
        </w:rPr>
        <w:t>Director of Neighbourhoods &amp; Development</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0"/>
        <w:gridCol w:w="1554"/>
        <w:gridCol w:w="2346"/>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r w:rsidR="00891CE8">
              <w:rPr>
                <w:rFonts w:cs="Arial"/>
              </w:rPr>
              <w:t xml:space="preserve"> Neil Martin</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r w:rsidR="00F127AB">
              <w:rPr>
                <w:rFonts w:cs="Arial"/>
              </w:rPr>
              <w:t xml:space="preserve"> </w:t>
            </w:r>
            <w:r w:rsidR="00A728C0">
              <w:rPr>
                <w:rFonts w:cs="Arial"/>
              </w:rPr>
              <w:t>20 June 2018</w:t>
            </w:r>
          </w:p>
        </w:tc>
      </w:tr>
      <w:tr w:rsidR="0037228A" w:rsidTr="0031059E">
        <w:tc>
          <w:tcPr>
            <w:tcW w:w="5700" w:type="dxa"/>
            <w:shd w:val="clear" w:color="auto" w:fill="auto"/>
          </w:tcPr>
          <w:p w:rsidR="0037228A" w:rsidRPr="001B7F80" w:rsidRDefault="007B7FB5" w:rsidP="0031059E">
            <w:pPr>
              <w:rPr>
                <w:rFonts w:cs="Arial"/>
              </w:rPr>
            </w:pPr>
            <w:r>
              <w:rPr>
                <w:rFonts w:cs="Arial"/>
              </w:rPr>
              <w:lastRenderedPageBreak/>
              <w:t>Jennifer Mullin</w:t>
            </w:r>
            <w:r w:rsidR="00DD2C9A" w:rsidRPr="001B7F80">
              <w:rPr>
                <w:rFonts w:cs="Arial"/>
              </w:rPr>
              <w:t xml:space="preserve"> Director of Neighbourhoods</w:t>
            </w: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7B7FB5">
            <w:pPr>
              <w:rPr>
                <w:rFonts w:cs="Arial"/>
              </w:rPr>
            </w:pPr>
            <w:r>
              <w:rPr>
                <w:rFonts w:cs="Arial"/>
              </w:rPr>
              <w:t>01772 62</w:t>
            </w:r>
            <w:r w:rsidR="004B1B79">
              <w:rPr>
                <w:rFonts w:cs="Arial"/>
              </w:rPr>
              <w:t>5</w:t>
            </w:r>
            <w:r w:rsidR="007B7FB5">
              <w:rPr>
                <w:rFonts w:cs="Arial"/>
              </w:rPr>
              <w:t>329</w:t>
            </w:r>
          </w:p>
        </w:tc>
        <w:tc>
          <w:tcPr>
            <w:tcW w:w="2380" w:type="dxa"/>
            <w:shd w:val="clear" w:color="auto" w:fill="auto"/>
          </w:tcPr>
          <w:p w:rsidR="0037228A" w:rsidRPr="0031059E" w:rsidRDefault="0037228A" w:rsidP="0031059E">
            <w:pPr>
              <w:rPr>
                <w:rFonts w:cs="Arial"/>
              </w:rPr>
            </w:pP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25" w:rsidRDefault="00054325">
      <w:r>
        <w:separator/>
      </w:r>
    </w:p>
  </w:endnote>
  <w:endnote w:type="continuationSeparator" w:id="0">
    <w:p w:rsidR="00054325" w:rsidRDefault="0005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25" w:rsidRDefault="00054325">
      <w:r>
        <w:separator/>
      </w:r>
    </w:p>
  </w:footnote>
  <w:footnote w:type="continuationSeparator" w:id="0">
    <w:p w:rsidR="00054325" w:rsidRDefault="00054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276ED9"/>
    <w:multiLevelType w:val="hybridMultilevel"/>
    <w:tmpl w:val="A88A3B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3986EEC"/>
    <w:multiLevelType w:val="multilevel"/>
    <w:tmpl w:val="087E316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17C37"/>
    <w:rsid w:val="00022B08"/>
    <w:rsid w:val="0003360D"/>
    <w:rsid w:val="000427E0"/>
    <w:rsid w:val="00044775"/>
    <w:rsid w:val="00044F11"/>
    <w:rsid w:val="00054325"/>
    <w:rsid w:val="0006370A"/>
    <w:rsid w:val="00077488"/>
    <w:rsid w:val="000828CC"/>
    <w:rsid w:val="0009466B"/>
    <w:rsid w:val="000A7181"/>
    <w:rsid w:val="000B3F03"/>
    <w:rsid w:val="000D40AB"/>
    <w:rsid w:val="000E10FE"/>
    <w:rsid w:val="000E5A3B"/>
    <w:rsid w:val="000E7A93"/>
    <w:rsid w:val="000F2C8A"/>
    <w:rsid w:val="000F73F1"/>
    <w:rsid w:val="0010115F"/>
    <w:rsid w:val="00116662"/>
    <w:rsid w:val="001544DD"/>
    <w:rsid w:val="001651B0"/>
    <w:rsid w:val="00167AEF"/>
    <w:rsid w:val="00176159"/>
    <w:rsid w:val="00184E1D"/>
    <w:rsid w:val="0019545D"/>
    <w:rsid w:val="001A24F9"/>
    <w:rsid w:val="001B7F80"/>
    <w:rsid w:val="001F7DDB"/>
    <w:rsid w:val="00202F38"/>
    <w:rsid w:val="00207251"/>
    <w:rsid w:val="002221BD"/>
    <w:rsid w:val="00234939"/>
    <w:rsid w:val="0023799F"/>
    <w:rsid w:val="0025591B"/>
    <w:rsid w:val="002820A5"/>
    <w:rsid w:val="00294520"/>
    <w:rsid w:val="002A055B"/>
    <w:rsid w:val="002C2510"/>
    <w:rsid w:val="002D4745"/>
    <w:rsid w:val="002D5A30"/>
    <w:rsid w:val="002D7343"/>
    <w:rsid w:val="002E4FF4"/>
    <w:rsid w:val="002F5C5E"/>
    <w:rsid w:val="003012F3"/>
    <w:rsid w:val="0031059E"/>
    <w:rsid w:val="00331D5F"/>
    <w:rsid w:val="00343E82"/>
    <w:rsid w:val="00345C71"/>
    <w:rsid w:val="00357F6B"/>
    <w:rsid w:val="00366303"/>
    <w:rsid w:val="0037228A"/>
    <w:rsid w:val="003851C9"/>
    <w:rsid w:val="00386AAD"/>
    <w:rsid w:val="0038737A"/>
    <w:rsid w:val="00387E19"/>
    <w:rsid w:val="00396EB2"/>
    <w:rsid w:val="003A1B3F"/>
    <w:rsid w:val="003A23D3"/>
    <w:rsid w:val="003A2919"/>
    <w:rsid w:val="003B1E6D"/>
    <w:rsid w:val="003C36EB"/>
    <w:rsid w:val="003D3DEB"/>
    <w:rsid w:val="003D4C72"/>
    <w:rsid w:val="003E33E6"/>
    <w:rsid w:val="003E48A8"/>
    <w:rsid w:val="003F5603"/>
    <w:rsid w:val="003F58A6"/>
    <w:rsid w:val="003F6135"/>
    <w:rsid w:val="00405D4A"/>
    <w:rsid w:val="00407A09"/>
    <w:rsid w:val="004155DC"/>
    <w:rsid w:val="004218EA"/>
    <w:rsid w:val="00442C46"/>
    <w:rsid w:val="0045553F"/>
    <w:rsid w:val="00456396"/>
    <w:rsid w:val="00467204"/>
    <w:rsid w:val="00474DA8"/>
    <w:rsid w:val="00475BEE"/>
    <w:rsid w:val="004859DE"/>
    <w:rsid w:val="00491976"/>
    <w:rsid w:val="004A45D4"/>
    <w:rsid w:val="004B1B79"/>
    <w:rsid w:val="004C2F94"/>
    <w:rsid w:val="004D7260"/>
    <w:rsid w:val="004F23B3"/>
    <w:rsid w:val="0050340F"/>
    <w:rsid w:val="005041BB"/>
    <w:rsid w:val="00517D50"/>
    <w:rsid w:val="00533525"/>
    <w:rsid w:val="00537F51"/>
    <w:rsid w:val="005440EC"/>
    <w:rsid w:val="00547120"/>
    <w:rsid w:val="0054739C"/>
    <w:rsid w:val="00547481"/>
    <w:rsid w:val="00552DBD"/>
    <w:rsid w:val="00576A82"/>
    <w:rsid w:val="00594D09"/>
    <w:rsid w:val="005A26AD"/>
    <w:rsid w:val="005B0C36"/>
    <w:rsid w:val="005C598A"/>
    <w:rsid w:val="005D4F59"/>
    <w:rsid w:val="0060374B"/>
    <w:rsid w:val="00603BD5"/>
    <w:rsid w:val="006160D5"/>
    <w:rsid w:val="00621D7D"/>
    <w:rsid w:val="00627295"/>
    <w:rsid w:val="00630F86"/>
    <w:rsid w:val="00632FCE"/>
    <w:rsid w:val="00633396"/>
    <w:rsid w:val="00645A0B"/>
    <w:rsid w:val="006478F6"/>
    <w:rsid w:val="0065176C"/>
    <w:rsid w:val="006555E6"/>
    <w:rsid w:val="00665EE7"/>
    <w:rsid w:val="006879CA"/>
    <w:rsid w:val="00693EE6"/>
    <w:rsid w:val="006B645E"/>
    <w:rsid w:val="006B66A7"/>
    <w:rsid w:val="006B7116"/>
    <w:rsid w:val="006B7790"/>
    <w:rsid w:val="006C04C1"/>
    <w:rsid w:val="006C209A"/>
    <w:rsid w:val="006C42B0"/>
    <w:rsid w:val="006E09FB"/>
    <w:rsid w:val="006E0ECA"/>
    <w:rsid w:val="006F1383"/>
    <w:rsid w:val="006F48FD"/>
    <w:rsid w:val="006F780A"/>
    <w:rsid w:val="00703DE3"/>
    <w:rsid w:val="00707E99"/>
    <w:rsid w:val="00712E3F"/>
    <w:rsid w:val="00721612"/>
    <w:rsid w:val="00743794"/>
    <w:rsid w:val="00796A8D"/>
    <w:rsid w:val="007A0801"/>
    <w:rsid w:val="007B7FB5"/>
    <w:rsid w:val="007C2B0E"/>
    <w:rsid w:val="007E73C2"/>
    <w:rsid w:val="007F3E8C"/>
    <w:rsid w:val="00814F6D"/>
    <w:rsid w:val="00857921"/>
    <w:rsid w:val="00861E86"/>
    <w:rsid w:val="008727A9"/>
    <w:rsid w:val="008770BE"/>
    <w:rsid w:val="0088036C"/>
    <w:rsid w:val="00891CE8"/>
    <w:rsid w:val="00893AD2"/>
    <w:rsid w:val="008A2F6B"/>
    <w:rsid w:val="008A42E3"/>
    <w:rsid w:val="008A77AB"/>
    <w:rsid w:val="008B3CB3"/>
    <w:rsid w:val="008B41C5"/>
    <w:rsid w:val="008C04DA"/>
    <w:rsid w:val="008C1DBF"/>
    <w:rsid w:val="008C3B1A"/>
    <w:rsid w:val="008D623F"/>
    <w:rsid w:val="008F4B91"/>
    <w:rsid w:val="0090542C"/>
    <w:rsid w:val="009057C1"/>
    <w:rsid w:val="009063C4"/>
    <w:rsid w:val="00911FD5"/>
    <w:rsid w:val="009350CB"/>
    <w:rsid w:val="009538AE"/>
    <w:rsid w:val="00970C70"/>
    <w:rsid w:val="00980267"/>
    <w:rsid w:val="00983CD5"/>
    <w:rsid w:val="009846F1"/>
    <w:rsid w:val="00992E79"/>
    <w:rsid w:val="009A714A"/>
    <w:rsid w:val="009C1143"/>
    <w:rsid w:val="009C1E3F"/>
    <w:rsid w:val="009C2B4C"/>
    <w:rsid w:val="009C765A"/>
    <w:rsid w:val="009D19B9"/>
    <w:rsid w:val="009D2C46"/>
    <w:rsid w:val="009E233A"/>
    <w:rsid w:val="009E48E0"/>
    <w:rsid w:val="00A1406A"/>
    <w:rsid w:val="00A162DE"/>
    <w:rsid w:val="00A2078A"/>
    <w:rsid w:val="00A22D02"/>
    <w:rsid w:val="00A30426"/>
    <w:rsid w:val="00A3734F"/>
    <w:rsid w:val="00A445C9"/>
    <w:rsid w:val="00A4702E"/>
    <w:rsid w:val="00A50754"/>
    <w:rsid w:val="00A62C20"/>
    <w:rsid w:val="00A67215"/>
    <w:rsid w:val="00A728C0"/>
    <w:rsid w:val="00A7541A"/>
    <w:rsid w:val="00A76482"/>
    <w:rsid w:val="00A90F1A"/>
    <w:rsid w:val="00A93D70"/>
    <w:rsid w:val="00A975A7"/>
    <w:rsid w:val="00AB3D95"/>
    <w:rsid w:val="00AC4A99"/>
    <w:rsid w:val="00AF0A33"/>
    <w:rsid w:val="00B01C6E"/>
    <w:rsid w:val="00B05FE8"/>
    <w:rsid w:val="00B1161D"/>
    <w:rsid w:val="00B1253E"/>
    <w:rsid w:val="00B1788B"/>
    <w:rsid w:val="00B41CDE"/>
    <w:rsid w:val="00B443DD"/>
    <w:rsid w:val="00B51DB8"/>
    <w:rsid w:val="00B53C58"/>
    <w:rsid w:val="00B62D79"/>
    <w:rsid w:val="00B67225"/>
    <w:rsid w:val="00B70B91"/>
    <w:rsid w:val="00B716F5"/>
    <w:rsid w:val="00B72A06"/>
    <w:rsid w:val="00B766C4"/>
    <w:rsid w:val="00B925C6"/>
    <w:rsid w:val="00BA2606"/>
    <w:rsid w:val="00BB1387"/>
    <w:rsid w:val="00BB4A94"/>
    <w:rsid w:val="00BC6635"/>
    <w:rsid w:val="00BD2AFE"/>
    <w:rsid w:val="00BD6BEC"/>
    <w:rsid w:val="00BE0127"/>
    <w:rsid w:val="00C022F9"/>
    <w:rsid w:val="00C14D18"/>
    <w:rsid w:val="00C209E3"/>
    <w:rsid w:val="00C250AC"/>
    <w:rsid w:val="00C30128"/>
    <w:rsid w:val="00C52450"/>
    <w:rsid w:val="00C619EA"/>
    <w:rsid w:val="00C64ED1"/>
    <w:rsid w:val="00C65FF9"/>
    <w:rsid w:val="00C66BAA"/>
    <w:rsid w:val="00C80A48"/>
    <w:rsid w:val="00CA33BB"/>
    <w:rsid w:val="00CA75F2"/>
    <w:rsid w:val="00CB32DF"/>
    <w:rsid w:val="00CC2DF9"/>
    <w:rsid w:val="00CC3246"/>
    <w:rsid w:val="00CC4337"/>
    <w:rsid w:val="00CD2BE7"/>
    <w:rsid w:val="00CE3DA1"/>
    <w:rsid w:val="00CE4482"/>
    <w:rsid w:val="00CE481B"/>
    <w:rsid w:val="00CF6B60"/>
    <w:rsid w:val="00D36638"/>
    <w:rsid w:val="00D37745"/>
    <w:rsid w:val="00D37BAE"/>
    <w:rsid w:val="00D772AB"/>
    <w:rsid w:val="00D775C5"/>
    <w:rsid w:val="00D90A00"/>
    <w:rsid w:val="00D91845"/>
    <w:rsid w:val="00D91FE1"/>
    <w:rsid w:val="00D9371C"/>
    <w:rsid w:val="00DA589A"/>
    <w:rsid w:val="00DB3FD0"/>
    <w:rsid w:val="00DB4EB8"/>
    <w:rsid w:val="00DB6F5A"/>
    <w:rsid w:val="00DC78B5"/>
    <w:rsid w:val="00DD2C9A"/>
    <w:rsid w:val="00DE2369"/>
    <w:rsid w:val="00DE5E12"/>
    <w:rsid w:val="00DF567D"/>
    <w:rsid w:val="00DF5903"/>
    <w:rsid w:val="00E048CF"/>
    <w:rsid w:val="00E04CF0"/>
    <w:rsid w:val="00E21ECD"/>
    <w:rsid w:val="00E2276E"/>
    <w:rsid w:val="00E32741"/>
    <w:rsid w:val="00E4055D"/>
    <w:rsid w:val="00E41950"/>
    <w:rsid w:val="00E45B81"/>
    <w:rsid w:val="00E50A9C"/>
    <w:rsid w:val="00E51F90"/>
    <w:rsid w:val="00E53346"/>
    <w:rsid w:val="00E569CB"/>
    <w:rsid w:val="00E577A2"/>
    <w:rsid w:val="00E60A53"/>
    <w:rsid w:val="00E66713"/>
    <w:rsid w:val="00E733A5"/>
    <w:rsid w:val="00E753EC"/>
    <w:rsid w:val="00E7541D"/>
    <w:rsid w:val="00E84459"/>
    <w:rsid w:val="00E971A2"/>
    <w:rsid w:val="00EB6C10"/>
    <w:rsid w:val="00EB7B0D"/>
    <w:rsid w:val="00EB7C94"/>
    <w:rsid w:val="00ED257A"/>
    <w:rsid w:val="00ED57B4"/>
    <w:rsid w:val="00EE1A41"/>
    <w:rsid w:val="00EE1FE7"/>
    <w:rsid w:val="00EF3B6C"/>
    <w:rsid w:val="00F127AB"/>
    <w:rsid w:val="00F3057A"/>
    <w:rsid w:val="00F30E9C"/>
    <w:rsid w:val="00F34F32"/>
    <w:rsid w:val="00F55E4D"/>
    <w:rsid w:val="00F575E7"/>
    <w:rsid w:val="00F61752"/>
    <w:rsid w:val="00F83931"/>
    <w:rsid w:val="00FA64A6"/>
    <w:rsid w:val="00FB79F1"/>
    <w:rsid w:val="00FC4A82"/>
    <w:rsid w:val="00FC6608"/>
    <w:rsid w:val="00FD7B65"/>
    <w:rsid w:val="00FE04BC"/>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198155779">
      <w:bodyDiv w:val="1"/>
      <w:marLeft w:val="0"/>
      <w:marRight w:val="0"/>
      <w:marTop w:val="0"/>
      <w:marBottom w:val="0"/>
      <w:divBdr>
        <w:top w:val="none" w:sz="0" w:space="0" w:color="auto"/>
        <w:left w:val="none" w:sz="0" w:space="0" w:color="auto"/>
        <w:bottom w:val="none" w:sz="0" w:space="0" w:color="auto"/>
        <w:right w:val="none" w:sz="0" w:space="0" w:color="auto"/>
      </w:divBdr>
    </w:div>
    <w:div w:id="1692683436">
      <w:bodyDiv w:val="1"/>
      <w:marLeft w:val="0"/>
      <w:marRight w:val="0"/>
      <w:marTop w:val="0"/>
      <w:marBottom w:val="0"/>
      <w:divBdr>
        <w:top w:val="none" w:sz="0" w:space="0" w:color="auto"/>
        <w:left w:val="none" w:sz="0" w:space="0" w:color="auto"/>
        <w:bottom w:val="none" w:sz="0" w:space="0" w:color="auto"/>
        <w:right w:val="none" w:sz="0" w:space="0" w:color="auto"/>
      </w:divBdr>
    </w:div>
    <w:div w:id="1943604689">
      <w:bodyDiv w:val="1"/>
      <w:marLeft w:val="0"/>
      <w:marRight w:val="0"/>
      <w:marTop w:val="0"/>
      <w:marBottom w:val="0"/>
      <w:divBdr>
        <w:top w:val="none" w:sz="0" w:space="0" w:color="auto"/>
        <w:left w:val="none" w:sz="0" w:space="0" w:color="auto"/>
        <w:bottom w:val="none" w:sz="0" w:space="0" w:color="auto"/>
        <w:right w:val="none" w:sz="0" w:space="0" w:color="auto"/>
      </w:divBdr>
    </w:div>
    <w:div w:id="21172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922</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2018-06-20T18:55:00Z</dcterms:created>
  <dcterms:modified xsi:type="dcterms:W3CDTF">2018-06-20T18:55:00Z</dcterms:modified>
</cp:coreProperties>
</file>